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3814"/>
        <w:gridCol w:w="6801"/>
        <w:gridCol w:w="2868"/>
      </w:tblGrid>
      <w:tr w:rsidR="00637E49" w:rsidRPr="00637E49" w:rsidTr="00637E49">
        <w:tc>
          <w:tcPr>
            <w:tcW w:w="14175" w:type="dxa"/>
            <w:gridSpan w:val="4"/>
            <w:shd w:val="clear" w:color="auto" w:fill="D9D9D9"/>
          </w:tcPr>
          <w:p w:rsidR="00637E49" w:rsidRPr="00637E49" w:rsidRDefault="00637E49" w:rsidP="00637E49">
            <w:pPr>
              <w:spacing w:before="120" w:after="80" w:line="288" w:lineRule="auto"/>
              <w:ind w:left="720"/>
              <w:contextualSpacing/>
              <w:jc w:val="both"/>
              <w:rPr>
                <w:rFonts w:ascii="Times New Roman" w:eastAsia="Calibri" w:hAnsi="Times New Roman" w:cs="Times New Roman"/>
                <w:b/>
                <w:sz w:val="26"/>
                <w:szCs w:val="26"/>
                <w:lang w:val="fr-FR"/>
              </w:rPr>
            </w:pPr>
            <w:bookmarkStart w:id="0" w:name="_GoBack"/>
            <w:bookmarkEnd w:id="0"/>
            <w:r w:rsidRPr="00637E49">
              <w:rPr>
                <w:rFonts w:ascii="Times New Roman" w:eastAsia="Calibri" w:hAnsi="Times New Roman" w:cs="Times New Roman"/>
                <w:b/>
                <w:sz w:val="26"/>
                <w:szCs w:val="26"/>
                <w:lang w:val="fr-FR"/>
              </w:rPr>
              <w:t>Dự thảo Nghị định quy định điều kiện kinh doanh dịch vụ đóng mới, hoán cải, sửa chữa tàu biển</w:t>
            </w:r>
          </w:p>
        </w:tc>
      </w:tr>
      <w:tr w:rsidR="00637E49" w:rsidRPr="00637E49" w:rsidTr="00637E49">
        <w:tc>
          <w:tcPr>
            <w:tcW w:w="692" w:type="dxa"/>
            <w:shd w:val="clear" w:color="auto" w:fill="auto"/>
          </w:tcPr>
          <w:p w:rsidR="00637E49" w:rsidRPr="00637E49" w:rsidRDefault="00637E49" w:rsidP="00637E49">
            <w:pPr>
              <w:numPr>
                <w:ilvl w:val="0"/>
                <w:numId w:val="3"/>
              </w:numPr>
              <w:spacing w:before="120" w:after="80" w:line="288" w:lineRule="auto"/>
              <w:contextualSpacing/>
              <w:jc w:val="both"/>
              <w:rPr>
                <w:rFonts w:ascii="Times New Roman" w:eastAsia="Calibri" w:hAnsi="Times New Roman" w:cs="Times New Roman"/>
                <w:sz w:val="26"/>
                <w:szCs w:val="26"/>
              </w:rPr>
            </w:pPr>
            <w:r w:rsidRPr="00637E49">
              <w:rPr>
                <w:rFonts w:ascii="Times New Roman" w:eastAsia="Calibri" w:hAnsi="Times New Roman" w:cs="Times New Roman"/>
                <w:sz w:val="26"/>
                <w:szCs w:val="26"/>
              </w:rPr>
              <w:t>1</w:t>
            </w:r>
          </w:p>
        </w:tc>
        <w:tc>
          <w:tcPr>
            <w:tcW w:w="3814"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b/>
                <w:sz w:val="26"/>
                <w:szCs w:val="26"/>
                <w:lang w:val="fr-FR"/>
              </w:rPr>
            </w:pPr>
            <w:r w:rsidRPr="00637E49">
              <w:rPr>
                <w:rFonts w:ascii="Times New Roman" w:eastAsia="Calibri" w:hAnsi="Times New Roman" w:cs="Times New Roman"/>
                <w:b/>
                <w:sz w:val="26"/>
                <w:szCs w:val="26"/>
                <w:lang w:val="fr-FR"/>
              </w:rPr>
              <w:t>Điều kiện kinh doanh dịch vụ đóng mới, hoán cải tàu biển (Chương II)</w:t>
            </w:r>
          </w:p>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b/>
                <w:sz w:val="26"/>
                <w:szCs w:val="26"/>
                <w:lang w:val="fr-FR"/>
              </w:rPr>
              <w:t>Điều kiện kinh doanh dịch vụ sửa chữa tàu biển (Chương III)</w:t>
            </w:r>
          </w:p>
        </w:tc>
        <w:tc>
          <w:tcPr>
            <w:tcW w:w="6801"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Chương II, III Dự thảo quy định về các điều kiện kinh doanh dịch vụ đóng mới, hoán cải, sửa chữa tàu biển, tuy nhiên các điều kiện quy định tại Dự thảo khá chung chung, chẳng hạn như:</w:t>
            </w:r>
          </w:p>
          <w:p w:rsidR="00637E49" w:rsidRPr="00637E49" w:rsidRDefault="00637E49" w:rsidP="00637E49">
            <w:pPr>
              <w:numPr>
                <w:ilvl w:val="0"/>
                <w:numId w:val="1"/>
              </w:numPr>
              <w:spacing w:before="120" w:after="80" w:line="288" w:lineRule="auto"/>
              <w:contextualSpacing/>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 xml:space="preserve">Đảm bảo có </w:t>
            </w:r>
            <w:r w:rsidRPr="00637E49">
              <w:rPr>
                <w:rFonts w:ascii="Times New Roman" w:eastAsia="Calibri" w:hAnsi="Times New Roman" w:cs="Times New Roman"/>
                <w:b/>
                <w:sz w:val="26"/>
                <w:szCs w:val="26"/>
                <w:lang w:val="fr-FR"/>
              </w:rPr>
              <w:t>đầy đủ</w:t>
            </w:r>
            <w:r w:rsidRPr="00637E49">
              <w:rPr>
                <w:rFonts w:ascii="Times New Roman" w:eastAsia="Calibri" w:hAnsi="Times New Roman" w:cs="Times New Roman"/>
                <w:sz w:val="26"/>
                <w:szCs w:val="26"/>
                <w:lang w:val="fr-FR"/>
              </w:rPr>
              <w:t xml:space="preserve"> nhân lực, hệ thống, công trình, thiết bị quản lý và xử lý chất thải phát sinh tại cơ sở theo </w:t>
            </w:r>
            <w:r w:rsidRPr="00637E49">
              <w:rPr>
                <w:rFonts w:ascii="Times New Roman" w:eastAsia="Calibri" w:hAnsi="Times New Roman" w:cs="Times New Roman"/>
                <w:b/>
                <w:sz w:val="26"/>
                <w:szCs w:val="26"/>
                <w:lang w:val="fr-FR"/>
              </w:rPr>
              <w:t>quy định liên quan của pháp luật về bảo vệ môi trường</w:t>
            </w:r>
            <w:r w:rsidRPr="00637E49">
              <w:rPr>
                <w:rFonts w:ascii="Times New Roman" w:eastAsia="Calibri" w:hAnsi="Times New Roman" w:cs="Times New Roman"/>
                <w:sz w:val="26"/>
                <w:szCs w:val="26"/>
                <w:lang w:val="fr-FR"/>
              </w:rPr>
              <w:t xml:space="preserve"> (khoản 2 Điều 8; khoản 2 Điều 13);</w:t>
            </w:r>
          </w:p>
          <w:p w:rsidR="00637E49" w:rsidRPr="00637E49" w:rsidRDefault="00637E49" w:rsidP="00637E49">
            <w:pPr>
              <w:numPr>
                <w:ilvl w:val="0"/>
                <w:numId w:val="1"/>
              </w:numPr>
              <w:spacing w:before="120" w:after="80" w:line="288" w:lineRule="auto"/>
              <w:contextualSpacing/>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 xml:space="preserve">Có phương án bảo đảm an toàn, vệ sinh lao động, phòng, chống cháy, nổ được cơ quan có thẩm quyền phê duyệt </w:t>
            </w:r>
            <w:r w:rsidRPr="00637E49">
              <w:rPr>
                <w:rFonts w:ascii="Times New Roman" w:eastAsia="Calibri" w:hAnsi="Times New Roman" w:cs="Times New Roman"/>
                <w:b/>
                <w:sz w:val="26"/>
                <w:szCs w:val="26"/>
                <w:lang w:val="fr-FR"/>
              </w:rPr>
              <w:t xml:space="preserve">theo quy định </w:t>
            </w:r>
            <w:r w:rsidRPr="00637E49">
              <w:rPr>
                <w:rFonts w:ascii="Times New Roman" w:eastAsia="Calibri" w:hAnsi="Times New Roman" w:cs="Times New Roman"/>
                <w:sz w:val="26"/>
                <w:szCs w:val="26"/>
                <w:lang w:val="fr-FR"/>
              </w:rPr>
              <w:t>(khoản 1 Điều 7; khoản 2 Điều 12);</w:t>
            </w:r>
          </w:p>
          <w:p w:rsidR="00637E49" w:rsidRPr="00637E49" w:rsidRDefault="00637E49" w:rsidP="00637E49">
            <w:pPr>
              <w:numPr>
                <w:ilvl w:val="0"/>
                <w:numId w:val="1"/>
              </w:numPr>
              <w:spacing w:before="120" w:after="80" w:line="288" w:lineRule="auto"/>
              <w:contextualSpacing/>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 xml:space="preserve">Có phương án bảo đảm về an toàn phóng xạ theo </w:t>
            </w:r>
            <w:r w:rsidRPr="00637E49">
              <w:rPr>
                <w:rFonts w:ascii="Times New Roman" w:eastAsia="Calibri" w:hAnsi="Times New Roman" w:cs="Times New Roman"/>
                <w:b/>
                <w:sz w:val="26"/>
                <w:szCs w:val="26"/>
                <w:lang w:val="fr-FR"/>
              </w:rPr>
              <w:t>các quy định của pháp luật</w:t>
            </w:r>
            <w:r w:rsidRPr="00637E49">
              <w:rPr>
                <w:rFonts w:ascii="Times New Roman" w:eastAsia="Calibri" w:hAnsi="Times New Roman" w:cs="Times New Roman"/>
                <w:sz w:val="26"/>
                <w:szCs w:val="26"/>
                <w:lang w:val="fr-FR"/>
              </w:rPr>
              <w:t xml:space="preserve"> nếu thực hiện kiểm tra không phá hủy bằng phương pháp chụp ảnh phóng xạ (khoản 2 Điều 12);</w:t>
            </w:r>
          </w:p>
          <w:p w:rsidR="00637E49" w:rsidRPr="00637E49" w:rsidRDefault="00637E49" w:rsidP="00637E49">
            <w:pPr>
              <w:numPr>
                <w:ilvl w:val="0"/>
                <w:numId w:val="1"/>
              </w:numPr>
              <w:spacing w:before="120" w:after="80" w:line="288" w:lineRule="auto"/>
              <w:contextualSpacing/>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 xml:space="preserve">Đảm bảo </w:t>
            </w:r>
            <w:r w:rsidRPr="00637E49">
              <w:rPr>
                <w:rFonts w:ascii="Times New Roman" w:eastAsia="Calibri" w:hAnsi="Times New Roman" w:cs="Times New Roman"/>
                <w:b/>
                <w:sz w:val="26"/>
                <w:szCs w:val="26"/>
                <w:lang w:val="fr-FR"/>
              </w:rPr>
              <w:t>có</w:t>
            </w:r>
            <w:r w:rsidRPr="00637E49">
              <w:rPr>
                <w:rFonts w:ascii="Times New Roman" w:eastAsia="Calibri" w:hAnsi="Times New Roman" w:cs="Times New Roman"/>
                <w:sz w:val="26"/>
                <w:szCs w:val="26"/>
                <w:lang w:val="fr-FR"/>
              </w:rPr>
              <w:t xml:space="preserve"> </w:t>
            </w:r>
            <w:r w:rsidRPr="00637E49">
              <w:rPr>
                <w:rFonts w:ascii="Times New Roman" w:eastAsia="Calibri" w:hAnsi="Times New Roman" w:cs="Times New Roman"/>
                <w:b/>
                <w:sz w:val="26"/>
                <w:szCs w:val="26"/>
                <w:lang w:val="fr-FR"/>
              </w:rPr>
              <w:t xml:space="preserve">đủ </w:t>
            </w:r>
            <w:r w:rsidRPr="00637E49">
              <w:rPr>
                <w:rFonts w:ascii="Times New Roman" w:eastAsia="Calibri" w:hAnsi="Times New Roman" w:cs="Times New Roman"/>
                <w:sz w:val="26"/>
                <w:szCs w:val="26"/>
                <w:lang w:val="fr-FR"/>
              </w:rPr>
              <w:t xml:space="preserve">các phương tiện tiếp nhận, thu hồi các chất thải từ tàu để xử lý </w:t>
            </w:r>
            <w:r w:rsidRPr="00637E49">
              <w:rPr>
                <w:rFonts w:ascii="Times New Roman" w:eastAsia="Calibri" w:hAnsi="Times New Roman" w:cs="Times New Roman"/>
                <w:b/>
                <w:sz w:val="26"/>
                <w:szCs w:val="26"/>
                <w:lang w:val="fr-FR"/>
              </w:rPr>
              <w:t xml:space="preserve">theo quy định </w:t>
            </w:r>
            <w:r w:rsidRPr="00637E49">
              <w:rPr>
                <w:rFonts w:ascii="Times New Roman" w:eastAsia="Calibri" w:hAnsi="Times New Roman" w:cs="Times New Roman"/>
                <w:sz w:val="26"/>
                <w:szCs w:val="26"/>
                <w:lang w:val="fr-FR"/>
              </w:rPr>
              <w:t>(khoản 1 Điều 13);</w:t>
            </w:r>
          </w:p>
          <w:p w:rsidR="00637E49" w:rsidRPr="00637E49" w:rsidRDefault="00637E49" w:rsidP="00637E49">
            <w:pPr>
              <w:numPr>
                <w:ilvl w:val="0"/>
                <w:numId w:val="1"/>
              </w:numPr>
              <w:spacing w:before="120" w:after="80" w:line="288" w:lineRule="auto"/>
              <w:contextualSpacing/>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 xml:space="preserve">Có </w:t>
            </w:r>
            <w:r w:rsidRPr="00637E49">
              <w:rPr>
                <w:rFonts w:ascii="Times New Roman" w:eastAsia="Calibri" w:hAnsi="Times New Roman" w:cs="Times New Roman"/>
                <w:b/>
                <w:sz w:val="26"/>
                <w:szCs w:val="26"/>
                <w:lang w:val="fr-FR"/>
              </w:rPr>
              <w:t xml:space="preserve">đầy đủ </w:t>
            </w:r>
            <w:r w:rsidRPr="00637E49">
              <w:rPr>
                <w:rFonts w:ascii="Times New Roman" w:eastAsia="Calibri" w:hAnsi="Times New Roman" w:cs="Times New Roman"/>
                <w:sz w:val="26"/>
                <w:szCs w:val="26"/>
                <w:lang w:val="fr-FR"/>
              </w:rPr>
              <w:t xml:space="preserve">các hồ sơ về bảo vệ môi trường được cơ quan có thẩm quyền phê duyệt </w:t>
            </w:r>
            <w:r w:rsidRPr="00637E49">
              <w:rPr>
                <w:rFonts w:ascii="Times New Roman" w:eastAsia="Calibri" w:hAnsi="Times New Roman" w:cs="Times New Roman"/>
                <w:b/>
                <w:sz w:val="26"/>
                <w:szCs w:val="26"/>
                <w:lang w:val="fr-FR"/>
              </w:rPr>
              <w:t xml:space="preserve">theoquy định của pháp luật </w:t>
            </w:r>
            <w:r w:rsidRPr="00637E49">
              <w:rPr>
                <w:rFonts w:ascii="Times New Roman" w:eastAsia="Calibri" w:hAnsi="Times New Roman" w:cs="Times New Roman"/>
                <w:sz w:val="26"/>
                <w:szCs w:val="26"/>
                <w:lang w:val="fr-FR"/>
              </w:rPr>
              <w:t>(khoản 2 Điều 13)</w:t>
            </w:r>
          </w:p>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“Theo quy định của pháp luật”, “theo quy định” … là những khái niệm chung chung và rất khó xác định giữa cả “rừng” văn bản trong hệ thống pháp luật nước ta hiện nay. Điều này sẽ nảy sinh tình trạng doanh nghiệp sẽ không xác định được tài liệu sẽ nộp trong Hồ sơ xin cấp phép.</w:t>
            </w:r>
          </w:p>
        </w:tc>
        <w:tc>
          <w:tcPr>
            <w:tcW w:w="2868"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 xml:space="preserve">Đề nghị </w:t>
            </w:r>
            <w:r w:rsidRPr="00637E49">
              <w:rPr>
                <w:rFonts w:ascii="Times New Roman" w:eastAsia="Calibri" w:hAnsi="Times New Roman" w:cs="Times New Roman"/>
                <w:b/>
                <w:sz w:val="26"/>
                <w:szCs w:val="26"/>
                <w:lang w:val="fr-FR"/>
              </w:rPr>
              <w:t>quy định rõ ràng, cụ thể</w:t>
            </w:r>
            <w:r w:rsidRPr="00637E49">
              <w:rPr>
                <w:rFonts w:ascii="Times New Roman" w:eastAsia="Calibri" w:hAnsi="Times New Roman" w:cs="Times New Roman"/>
                <w:sz w:val="26"/>
                <w:szCs w:val="26"/>
                <w:lang w:val="fr-FR"/>
              </w:rPr>
              <w:t xml:space="preserve"> về các điều kiện trên. Trong trường hợp đã có các văn bản pháp luật khác quy định cụ thể rồi thì đề nghị </w:t>
            </w:r>
            <w:r w:rsidRPr="00637E49">
              <w:rPr>
                <w:rFonts w:ascii="Times New Roman" w:eastAsia="Calibri" w:hAnsi="Times New Roman" w:cs="Times New Roman"/>
                <w:b/>
                <w:sz w:val="26"/>
                <w:szCs w:val="26"/>
                <w:lang w:val="fr-FR"/>
              </w:rPr>
              <w:t>dẫn chiếu với văn bản pháp luật có quy định</w:t>
            </w:r>
            <w:r w:rsidRPr="00637E49">
              <w:rPr>
                <w:rFonts w:ascii="Times New Roman" w:eastAsia="Calibri" w:hAnsi="Times New Roman" w:cs="Times New Roman"/>
                <w:sz w:val="26"/>
                <w:szCs w:val="26"/>
                <w:lang w:val="fr-FR"/>
              </w:rPr>
              <w:t>.</w:t>
            </w:r>
          </w:p>
        </w:tc>
      </w:tr>
      <w:tr w:rsidR="00637E49" w:rsidRPr="00637E49" w:rsidTr="00637E49">
        <w:tc>
          <w:tcPr>
            <w:tcW w:w="692" w:type="dxa"/>
            <w:shd w:val="clear" w:color="auto" w:fill="auto"/>
          </w:tcPr>
          <w:p w:rsidR="00637E49" w:rsidRPr="00637E49" w:rsidRDefault="00637E49" w:rsidP="00637E49">
            <w:pPr>
              <w:numPr>
                <w:ilvl w:val="0"/>
                <w:numId w:val="3"/>
              </w:numPr>
              <w:spacing w:before="120" w:after="80" w:line="288" w:lineRule="auto"/>
              <w:contextualSpacing/>
              <w:jc w:val="both"/>
              <w:rPr>
                <w:rFonts w:ascii="Times New Roman" w:eastAsia="Calibri" w:hAnsi="Times New Roman" w:cs="Times New Roman"/>
                <w:sz w:val="26"/>
                <w:szCs w:val="26"/>
              </w:rPr>
            </w:pPr>
            <w:r w:rsidRPr="00637E49">
              <w:rPr>
                <w:rFonts w:ascii="Times New Roman" w:eastAsia="Calibri" w:hAnsi="Times New Roman" w:cs="Times New Roman"/>
                <w:sz w:val="26"/>
                <w:szCs w:val="26"/>
              </w:rPr>
              <w:t>2</w:t>
            </w:r>
          </w:p>
        </w:tc>
        <w:tc>
          <w:tcPr>
            <w:tcW w:w="3814"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b/>
                <w:sz w:val="26"/>
                <w:szCs w:val="26"/>
                <w:lang w:val="fr-FR"/>
              </w:rPr>
            </w:pPr>
            <w:r w:rsidRPr="00637E49">
              <w:rPr>
                <w:rFonts w:ascii="Times New Roman" w:eastAsia="Calibri" w:hAnsi="Times New Roman" w:cs="Times New Roman"/>
                <w:b/>
                <w:sz w:val="26"/>
                <w:szCs w:val="26"/>
                <w:lang w:val="fr-FR"/>
              </w:rPr>
              <w:t xml:space="preserve">Hồ sơ, thủ tục công nhân, công nhận lại cơ sở đủ điều kiện đóng </w:t>
            </w:r>
            <w:r w:rsidRPr="00637E49">
              <w:rPr>
                <w:rFonts w:ascii="Times New Roman" w:eastAsia="Calibri" w:hAnsi="Times New Roman" w:cs="Times New Roman"/>
                <w:b/>
                <w:sz w:val="26"/>
                <w:szCs w:val="26"/>
                <w:lang w:val="fr-FR"/>
              </w:rPr>
              <w:lastRenderedPageBreak/>
              <w:t>mới, hoán cải, sửa chữa tàu biển (Điều 16)</w:t>
            </w:r>
          </w:p>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 xml:space="preserve">Điểm c khoản 2 Điều 16 Dự thảo quy định trong Hồ sơ đề nghị công nhận cơ sở đủ điều kiện đóng mới, hoán cải, sửa chữa tàu biển phải có “Sổ tay chất lượng cùng với các tài liệu liên quan và các quy trình được lập thành hồ sơ, bao gồm </w:t>
            </w:r>
            <w:r w:rsidRPr="00637E49">
              <w:rPr>
                <w:rFonts w:ascii="Times New Roman" w:eastAsia="Calibri" w:hAnsi="Times New Roman" w:cs="Times New Roman"/>
                <w:b/>
                <w:sz w:val="26"/>
                <w:szCs w:val="26"/>
                <w:lang w:val="fr-FR"/>
              </w:rPr>
              <w:t>cả các hồ sơ về bảo vệ môi trường, an toàn lao động, phòng chống cháy, nổ được cơ quan có thẩm quyền phê duyệt theo quy định của pháp luật”</w:t>
            </w:r>
          </w:p>
        </w:tc>
        <w:tc>
          <w:tcPr>
            <w:tcW w:w="6801"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lastRenderedPageBreak/>
              <w:t xml:space="preserve">Quy định về “hồ sơ về bảo vệ môi trường, an toàn lao động, phòng chống cháy, nổ được cơ quan có thẩm quyền phê duyệt </w:t>
            </w:r>
            <w:r w:rsidRPr="00637E49">
              <w:rPr>
                <w:rFonts w:ascii="Times New Roman" w:eastAsia="Calibri" w:hAnsi="Times New Roman" w:cs="Times New Roman"/>
                <w:sz w:val="26"/>
                <w:szCs w:val="26"/>
                <w:lang w:val="fr-FR"/>
              </w:rPr>
              <w:lastRenderedPageBreak/>
              <w:t>theo quy định của pháp luật” là chung chung, gây khó khăn trong việc xác định chính xác loại tài liệu cần phải có.</w:t>
            </w:r>
          </w:p>
        </w:tc>
        <w:tc>
          <w:tcPr>
            <w:tcW w:w="2868"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b/>
                <w:sz w:val="26"/>
                <w:szCs w:val="26"/>
                <w:lang w:val="fr-FR"/>
              </w:rPr>
              <w:lastRenderedPageBreak/>
              <w:t>Đề nghịquy định cụ thể</w:t>
            </w:r>
            <w:r w:rsidRPr="00637E49">
              <w:rPr>
                <w:rFonts w:ascii="Times New Roman" w:eastAsia="Calibri" w:hAnsi="Times New Roman" w:cs="Times New Roman"/>
                <w:sz w:val="26"/>
                <w:szCs w:val="26"/>
                <w:lang w:val="fr-FR"/>
              </w:rPr>
              <w:t xml:space="preserve"> các loại tài liệu quy định </w:t>
            </w:r>
            <w:r w:rsidRPr="00637E49">
              <w:rPr>
                <w:rFonts w:ascii="Times New Roman" w:eastAsia="Calibri" w:hAnsi="Times New Roman" w:cs="Times New Roman"/>
                <w:sz w:val="26"/>
                <w:szCs w:val="26"/>
                <w:lang w:val="fr-FR"/>
              </w:rPr>
              <w:lastRenderedPageBreak/>
              <w:t>tại điểm c khoản 2 Điều 16</w:t>
            </w:r>
          </w:p>
        </w:tc>
      </w:tr>
      <w:tr w:rsidR="00637E49" w:rsidRPr="00637E49" w:rsidTr="00637E49">
        <w:tc>
          <w:tcPr>
            <w:tcW w:w="692" w:type="dxa"/>
            <w:shd w:val="clear" w:color="auto" w:fill="auto"/>
          </w:tcPr>
          <w:p w:rsidR="00637E49" w:rsidRPr="00637E49" w:rsidRDefault="00637E49" w:rsidP="00637E49">
            <w:pPr>
              <w:numPr>
                <w:ilvl w:val="0"/>
                <w:numId w:val="3"/>
              </w:numPr>
              <w:spacing w:before="120" w:after="80" w:line="288" w:lineRule="auto"/>
              <w:contextualSpacing/>
              <w:jc w:val="both"/>
              <w:rPr>
                <w:rFonts w:ascii="Times New Roman" w:eastAsia="Calibri" w:hAnsi="Times New Roman" w:cs="Times New Roman"/>
                <w:sz w:val="26"/>
                <w:szCs w:val="26"/>
              </w:rPr>
            </w:pPr>
            <w:r w:rsidRPr="00637E49">
              <w:rPr>
                <w:rFonts w:ascii="Times New Roman" w:eastAsia="Calibri" w:hAnsi="Times New Roman" w:cs="Times New Roman"/>
                <w:sz w:val="26"/>
                <w:szCs w:val="26"/>
              </w:rPr>
              <w:lastRenderedPageBreak/>
              <w:t>3</w:t>
            </w:r>
          </w:p>
        </w:tc>
        <w:tc>
          <w:tcPr>
            <w:tcW w:w="3814"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b/>
                <w:sz w:val="26"/>
                <w:szCs w:val="26"/>
                <w:lang w:val="fr-FR"/>
              </w:rPr>
            </w:pPr>
            <w:r w:rsidRPr="00637E49">
              <w:rPr>
                <w:rFonts w:ascii="Times New Roman" w:eastAsia="Calibri" w:hAnsi="Times New Roman" w:cs="Times New Roman"/>
                <w:b/>
                <w:sz w:val="26"/>
                <w:szCs w:val="26"/>
                <w:lang w:val="fr-FR"/>
              </w:rPr>
              <w:t>Thời hạn đánh giá thực tế tại cơ sở</w:t>
            </w:r>
          </w:p>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Theo quy định tại điểm b khoản 4 Điều 16 Dự thảo thì thời gian đánh giá thực tế tại cơ sở sẽ được Cục Đăng kiểm Việt Nam thống nhất sau khi hồ sơ hợp lệ</w:t>
            </w:r>
          </w:p>
        </w:tc>
        <w:tc>
          <w:tcPr>
            <w:tcW w:w="6801"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 xml:space="preserve">Quy định này là </w:t>
            </w:r>
            <w:r w:rsidRPr="00637E49">
              <w:rPr>
                <w:rFonts w:ascii="Times New Roman" w:eastAsia="Calibri" w:hAnsi="Times New Roman" w:cs="Times New Roman"/>
                <w:b/>
                <w:sz w:val="26"/>
                <w:szCs w:val="26"/>
                <w:lang w:val="fr-FR"/>
              </w:rPr>
              <w:t>thiếu rõ ràng về thời hạn</w:t>
            </w:r>
            <w:r w:rsidRPr="00637E49">
              <w:rPr>
                <w:rFonts w:ascii="Times New Roman" w:eastAsia="Calibri" w:hAnsi="Times New Roman" w:cs="Times New Roman"/>
                <w:sz w:val="26"/>
                <w:szCs w:val="26"/>
                <w:lang w:val="fr-FR"/>
              </w:rPr>
              <w:t xml:space="preserve"> mà cơ quan nhà nước có thẩm quyền sẽ tiến hành đánh giá thực tế tại cơ sở sau khi hồ sơ hợp lệ. Thời gian đánh giá sẽ phụ thuộc vào quyết định của cơ quan nhà nước có thẩm quyền. Điều này khiến cho doanh nghiệp không thể tiên liệu được thời gian mà mình sẽ được cấp phép</w:t>
            </w:r>
          </w:p>
        </w:tc>
        <w:tc>
          <w:tcPr>
            <w:tcW w:w="2868"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b/>
                <w:sz w:val="26"/>
                <w:szCs w:val="26"/>
                <w:lang w:val="fr-FR"/>
              </w:rPr>
              <w:t>Đề nghịquy định về giới hạn thời gian</w:t>
            </w:r>
            <w:r w:rsidRPr="00637E49">
              <w:rPr>
                <w:rFonts w:ascii="Times New Roman" w:eastAsia="Calibri" w:hAnsi="Times New Roman" w:cs="Times New Roman"/>
                <w:sz w:val="26"/>
                <w:szCs w:val="26"/>
                <w:lang w:val="fr-FR"/>
              </w:rPr>
              <w:t xml:space="preserve"> mà cơ quan nhà nước sẽ tiến hành đánh giá thực tế tại cơ sở kể từ thời điểm hồ sơ hợp lệ.</w:t>
            </w:r>
          </w:p>
        </w:tc>
      </w:tr>
      <w:tr w:rsidR="00637E49" w:rsidRPr="00637E49" w:rsidTr="00637E49">
        <w:tc>
          <w:tcPr>
            <w:tcW w:w="692" w:type="dxa"/>
            <w:shd w:val="clear" w:color="auto" w:fill="auto"/>
          </w:tcPr>
          <w:p w:rsidR="00637E49" w:rsidRPr="00637E49" w:rsidRDefault="00637E49" w:rsidP="00637E49">
            <w:pPr>
              <w:numPr>
                <w:ilvl w:val="0"/>
                <w:numId w:val="3"/>
              </w:numPr>
              <w:spacing w:before="120" w:after="80" w:line="288" w:lineRule="auto"/>
              <w:contextualSpacing/>
              <w:jc w:val="both"/>
              <w:rPr>
                <w:rFonts w:ascii="Times New Roman" w:eastAsia="Calibri" w:hAnsi="Times New Roman" w:cs="Times New Roman"/>
                <w:sz w:val="26"/>
                <w:szCs w:val="26"/>
              </w:rPr>
            </w:pPr>
            <w:r w:rsidRPr="00637E49">
              <w:rPr>
                <w:rFonts w:ascii="Times New Roman" w:eastAsia="Calibri" w:hAnsi="Times New Roman" w:cs="Times New Roman"/>
                <w:sz w:val="26"/>
                <w:szCs w:val="26"/>
              </w:rPr>
              <w:t>4</w:t>
            </w:r>
          </w:p>
        </w:tc>
        <w:tc>
          <w:tcPr>
            <w:tcW w:w="3814"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b/>
                <w:sz w:val="26"/>
                <w:szCs w:val="26"/>
                <w:lang w:val="fr-FR"/>
              </w:rPr>
            </w:pPr>
            <w:r w:rsidRPr="00637E49">
              <w:rPr>
                <w:rFonts w:ascii="Times New Roman" w:eastAsia="Calibri" w:hAnsi="Times New Roman" w:cs="Times New Roman"/>
                <w:b/>
                <w:sz w:val="26"/>
                <w:szCs w:val="26"/>
                <w:lang w:val="fr-FR"/>
              </w:rPr>
              <w:t>Tên của giấy phép</w:t>
            </w:r>
          </w:p>
        </w:tc>
        <w:tc>
          <w:tcPr>
            <w:tcW w:w="6801"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sz w:val="26"/>
                <w:szCs w:val="26"/>
                <w:lang w:val="fr-FR"/>
              </w:rPr>
              <w:t>Về bản chất “Thông báo cơ sở đủ điều kiện đóng mới/hoán cải/sửa chữa tàu biển” là một loại giấy phép tương tự như “Giấy chứng nhận đủ điều kiện về điều kiện kinh doanh”. Tuy nhiên, việc sử dụng khái niệm “Thông báo” khiến cho loại giấy phép này có thể bị “nhầm lẫn” về bản chất và chưa nhất quán về tên của các loại giấy phép tương ứng trong hệ thống pháp luật hiện tại.</w:t>
            </w:r>
          </w:p>
        </w:tc>
        <w:tc>
          <w:tcPr>
            <w:tcW w:w="2868" w:type="dxa"/>
            <w:shd w:val="clear" w:color="auto" w:fill="auto"/>
          </w:tcPr>
          <w:p w:rsidR="00637E49" w:rsidRPr="00637E49" w:rsidRDefault="00637E49" w:rsidP="00637E49">
            <w:pPr>
              <w:spacing w:before="120" w:after="80" w:line="288" w:lineRule="auto"/>
              <w:jc w:val="both"/>
              <w:rPr>
                <w:rFonts w:ascii="Times New Roman" w:eastAsia="Calibri" w:hAnsi="Times New Roman" w:cs="Times New Roman"/>
                <w:sz w:val="26"/>
                <w:szCs w:val="26"/>
                <w:lang w:val="fr-FR"/>
              </w:rPr>
            </w:pPr>
            <w:r w:rsidRPr="00637E49">
              <w:rPr>
                <w:rFonts w:ascii="Times New Roman" w:eastAsia="Calibri" w:hAnsi="Times New Roman" w:cs="Times New Roman"/>
                <w:b/>
                <w:sz w:val="26"/>
                <w:szCs w:val="26"/>
                <w:lang w:val="fr-FR"/>
              </w:rPr>
              <w:t>Đề nghị đổi tên</w:t>
            </w:r>
            <w:r w:rsidRPr="00637E49">
              <w:rPr>
                <w:rFonts w:ascii="Times New Roman" w:eastAsia="Calibri" w:hAnsi="Times New Roman" w:cs="Times New Roman"/>
                <w:sz w:val="26"/>
                <w:szCs w:val="26"/>
                <w:lang w:val="fr-FR"/>
              </w:rPr>
              <w:t xml:space="preserve"> “Thông báo cơ sở đủ điều kiện đóng mới/hoán cải/sửa chữa tàu biển” thành “Giấy chứng nhận đủ điều kiện đóng mới/hoán cải/sửa chữa tàu biển”</w:t>
            </w:r>
          </w:p>
        </w:tc>
      </w:tr>
    </w:tbl>
    <w:p w:rsidR="00181A50" w:rsidRPr="00637E49" w:rsidRDefault="00181A50">
      <w:pPr>
        <w:rPr>
          <w:lang w:val="fr-FR"/>
        </w:rPr>
      </w:pPr>
    </w:p>
    <w:sectPr w:rsidR="00181A50" w:rsidRPr="00637E49" w:rsidSect="00637E49">
      <w:pgSz w:w="15840" w:h="12240" w:orient="landscape"/>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C049A"/>
    <w:multiLevelType w:val="hybridMultilevel"/>
    <w:tmpl w:val="5224B32C"/>
    <w:lvl w:ilvl="0" w:tplc="E52698F8">
      <w:start w:val="1"/>
      <w:numFmt w:val="decimal"/>
      <w:lvlText w:val="%1."/>
      <w:lvlJc w:val="left"/>
      <w:pPr>
        <w:ind w:left="689" w:hanging="547"/>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F6A1FE7"/>
    <w:multiLevelType w:val="hybridMultilevel"/>
    <w:tmpl w:val="BF780D08"/>
    <w:lvl w:ilvl="0" w:tplc="A59606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B3713"/>
    <w:multiLevelType w:val="hybridMultilevel"/>
    <w:tmpl w:val="42067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EE"/>
    <w:rsid w:val="00181A50"/>
    <w:rsid w:val="00637E49"/>
    <w:rsid w:val="00B2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FFA3C-D612-4775-814C-5B924CDC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dc:creator>
  <cp:keywords/>
  <dc:description/>
  <cp:lastModifiedBy>PC09</cp:lastModifiedBy>
  <cp:revision>2</cp:revision>
  <dcterms:created xsi:type="dcterms:W3CDTF">2016-08-29T04:23:00Z</dcterms:created>
  <dcterms:modified xsi:type="dcterms:W3CDTF">2016-08-29T04:25:00Z</dcterms:modified>
</cp:coreProperties>
</file>